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61" w:rsidRPr="000D462E" w:rsidRDefault="00843461" w:rsidP="00843461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en" w:eastAsia="id-ID"/>
        </w:rPr>
      </w:pPr>
      <w:r w:rsidRPr="000D462E">
        <w:rPr>
          <w:rFonts w:asciiTheme="minorHAnsi" w:eastAsia="Times New Roman" w:hAnsiTheme="minorHAnsi" w:cstheme="minorHAnsi"/>
          <w:b/>
          <w:bCs/>
          <w:lang w:val="en" w:eastAsia="id-ID"/>
        </w:rPr>
        <w:t xml:space="preserve">Political Law of Religious Courts in Indonesia </w:t>
      </w:r>
    </w:p>
    <w:p w:rsidR="00603637" w:rsidRPr="000D462E" w:rsidRDefault="00843461" w:rsidP="00843461">
      <w:pPr>
        <w:spacing w:after="0"/>
        <w:jc w:val="center"/>
        <w:rPr>
          <w:rFonts w:asciiTheme="minorHAnsi" w:eastAsia="Times New Roman" w:hAnsiTheme="minorHAnsi" w:cstheme="minorHAnsi"/>
          <w:b/>
          <w:bCs/>
          <w:lang w:eastAsia="id-ID"/>
        </w:rPr>
      </w:pPr>
      <w:r w:rsidRPr="000D462E">
        <w:rPr>
          <w:rFonts w:asciiTheme="minorHAnsi" w:eastAsia="Times New Roman" w:hAnsiTheme="minorHAnsi" w:cstheme="minorHAnsi"/>
          <w:b/>
          <w:bCs/>
          <w:lang w:val="en" w:eastAsia="id-ID"/>
        </w:rPr>
        <w:t>(Government Policy and Development of Religious Courts</w:t>
      </w:r>
      <w:r w:rsidRPr="000D462E">
        <w:rPr>
          <w:rFonts w:asciiTheme="minorHAnsi" w:eastAsia="Times New Roman" w:hAnsiTheme="minorHAnsi" w:cstheme="minorHAnsi"/>
          <w:b/>
          <w:bCs/>
          <w:lang w:eastAsia="id-ID"/>
        </w:rPr>
        <w:t>)</w:t>
      </w:r>
    </w:p>
    <w:p w:rsidR="000D462E" w:rsidRDefault="000D462E" w:rsidP="00843461">
      <w:pPr>
        <w:pStyle w:val="HTMLPreformatted"/>
        <w:jc w:val="center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:rsidR="00843461" w:rsidRPr="000D462E" w:rsidRDefault="00843461" w:rsidP="00843461">
      <w:pPr>
        <w:pStyle w:val="HTMLPreformatted"/>
        <w:jc w:val="center"/>
        <w:rPr>
          <w:rFonts w:asciiTheme="minorHAnsi" w:hAnsiTheme="minorHAnsi" w:cstheme="minorHAnsi"/>
          <w:sz w:val="22"/>
          <w:szCs w:val="22"/>
        </w:rPr>
      </w:pPr>
      <w:r w:rsidRPr="000D462E">
        <w:rPr>
          <w:rStyle w:val="y2iqfc"/>
          <w:rFonts w:asciiTheme="minorHAnsi" w:hAnsiTheme="minorHAnsi" w:cstheme="minorHAnsi"/>
          <w:sz w:val="22"/>
          <w:szCs w:val="22"/>
          <w:lang w:val="en"/>
        </w:rPr>
        <w:t>By: Syamhudian Noor</w:t>
      </w:r>
    </w:p>
    <w:p w:rsidR="00843461" w:rsidRPr="000D462E" w:rsidRDefault="00843461" w:rsidP="00843461">
      <w:pPr>
        <w:pStyle w:val="HTMLPreformatted"/>
        <w:jc w:val="center"/>
        <w:rPr>
          <w:rFonts w:asciiTheme="minorHAnsi" w:hAnsiTheme="minorHAnsi" w:cstheme="minorHAnsi"/>
          <w:sz w:val="22"/>
          <w:szCs w:val="22"/>
        </w:rPr>
      </w:pPr>
      <w:r w:rsidRPr="000D462E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Lecturer the Faculty of Law, </w:t>
      </w:r>
      <w:proofErr w:type="spellStart"/>
      <w:r w:rsidRPr="000D462E">
        <w:rPr>
          <w:rStyle w:val="y2iqfc"/>
          <w:rFonts w:asciiTheme="minorHAnsi" w:hAnsiTheme="minorHAnsi" w:cstheme="minorHAnsi"/>
          <w:sz w:val="22"/>
          <w:szCs w:val="22"/>
          <w:lang w:val="en"/>
        </w:rPr>
        <w:t>Palangka</w:t>
      </w:r>
      <w:proofErr w:type="spellEnd"/>
      <w:r w:rsidRPr="000D462E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Raya</w:t>
      </w:r>
      <w:r w:rsidRPr="000D462E">
        <w:rPr>
          <w:rStyle w:val="y2iqfc"/>
          <w:rFonts w:asciiTheme="minorHAnsi" w:hAnsiTheme="minorHAnsi" w:cstheme="minorHAnsi"/>
          <w:sz w:val="22"/>
          <w:szCs w:val="22"/>
        </w:rPr>
        <w:t xml:space="preserve"> University</w:t>
      </w:r>
    </w:p>
    <w:p w:rsidR="00843461" w:rsidRPr="000D462E" w:rsidRDefault="00843461" w:rsidP="00843461">
      <w:pPr>
        <w:spacing w:after="0"/>
        <w:jc w:val="center"/>
        <w:rPr>
          <w:rFonts w:asciiTheme="minorHAnsi" w:hAnsiTheme="minorHAnsi" w:cstheme="minorHAnsi"/>
          <w:sz w:val="22"/>
        </w:rPr>
      </w:pPr>
      <w:r w:rsidRPr="000D462E">
        <w:rPr>
          <w:rFonts w:asciiTheme="minorHAnsi" w:hAnsiTheme="minorHAnsi" w:cstheme="minorHAnsi"/>
          <w:sz w:val="22"/>
        </w:rPr>
        <w:t xml:space="preserve">Email : </w:t>
      </w:r>
      <w:r w:rsidRPr="000D462E">
        <w:rPr>
          <w:rFonts w:asciiTheme="minorHAnsi" w:hAnsiTheme="minorHAnsi" w:cstheme="minorHAnsi"/>
          <w:sz w:val="22"/>
        </w:rPr>
        <w:fldChar w:fldCharType="begin"/>
      </w:r>
      <w:r w:rsidRPr="000D462E">
        <w:rPr>
          <w:rFonts w:asciiTheme="minorHAnsi" w:hAnsiTheme="minorHAnsi" w:cstheme="minorHAnsi"/>
          <w:sz w:val="22"/>
        </w:rPr>
        <w:instrText xml:space="preserve"> HYPERLINK "mailto:</w:instrText>
      </w:r>
      <w:r w:rsidRPr="000D462E">
        <w:rPr>
          <w:rFonts w:asciiTheme="minorHAnsi" w:hAnsiTheme="minorHAnsi" w:cstheme="minorHAnsi"/>
          <w:sz w:val="22"/>
        </w:rPr>
        <w:instrText>syamhudian@gmail.com</w:instrText>
      </w:r>
      <w:r w:rsidRPr="000D462E">
        <w:rPr>
          <w:rFonts w:asciiTheme="minorHAnsi" w:hAnsiTheme="minorHAnsi" w:cstheme="minorHAnsi"/>
          <w:sz w:val="22"/>
        </w:rPr>
        <w:instrText xml:space="preserve">" </w:instrText>
      </w:r>
      <w:r w:rsidRPr="000D462E">
        <w:rPr>
          <w:rFonts w:asciiTheme="minorHAnsi" w:hAnsiTheme="minorHAnsi" w:cstheme="minorHAnsi"/>
          <w:sz w:val="22"/>
        </w:rPr>
        <w:fldChar w:fldCharType="separate"/>
      </w:r>
      <w:r w:rsidRPr="000D462E">
        <w:rPr>
          <w:rStyle w:val="Hyperlink"/>
          <w:rFonts w:asciiTheme="minorHAnsi" w:hAnsiTheme="minorHAnsi" w:cstheme="minorHAnsi"/>
          <w:sz w:val="22"/>
        </w:rPr>
        <w:t>syamhudian@gmail.com</w:t>
      </w:r>
      <w:r w:rsidRPr="000D462E">
        <w:rPr>
          <w:rFonts w:asciiTheme="minorHAnsi" w:hAnsiTheme="minorHAnsi" w:cstheme="minorHAnsi"/>
          <w:sz w:val="22"/>
        </w:rPr>
        <w:fldChar w:fldCharType="end"/>
      </w:r>
    </w:p>
    <w:p w:rsidR="00843461" w:rsidRPr="000D462E" w:rsidRDefault="00843461" w:rsidP="00843461">
      <w:pPr>
        <w:spacing w:after="0"/>
        <w:jc w:val="center"/>
        <w:rPr>
          <w:rFonts w:asciiTheme="minorHAnsi" w:hAnsiTheme="minorHAnsi" w:cstheme="minorHAnsi"/>
          <w:sz w:val="22"/>
        </w:rPr>
      </w:pPr>
    </w:p>
    <w:p w:rsidR="00843461" w:rsidRPr="000D462E" w:rsidRDefault="00843461" w:rsidP="0084346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462E">
        <w:rPr>
          <w:rFonts w:asciiTheme="minorHAnsi" w:hAnsiTheme="minorHAnsi" w:cstheme="minorHAnsi"/>
          <w:b/>
          <w:bCs/>
          <w:sz w:val="22"/>
          <w:szCs w:val="22"/>
        </w:rPr>
        <w:t>ABSTRACT</w:t>
      </w:r>
    </w:p>
    <w:p w:rsidR="00843461" w:rsidRPr="000D462E" w:rsidRDefault="00843461" w:rsidP="0084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943" w:firstLine="414"/>
        <w:jc w:val="both"/>
        <w:rPr>
          <w:rFonts w:asciiTheme="minorHAnsi" w:eastAsia="Times New Roman" w:hAnsiTheme="minorHAnsi" w:cstheme="minorHAnsi"/>
          <w:sz w:val="22"/>
          <w:szCs w:val="22"/>
          <w:lang w:eastAsia="id-ID"/>
        </w:rPr>
      </w:pP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The article entitled "Political Law of Religious Courts in Indonesia (Government Policy and Development of Religious Courts)", was made to answer a basic problem, why the authority to handle cases in religious courts is limited to certain case fields as referred to in article 49 of the Law </w:t>
      </w:r>
      <w:proofErr w:type="spellStart"/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>Law</w:t>
      </w:r>
      <w:proofErr w:type="spellEnd"/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 of the Republic of Indonesia Number 3 of 2006 concerning Amendment to Law Number 7 of 1989 concerning Religious Courts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>.</w:t>
      </w:r>
    </w:p>
    <w:p w:rsidR="00843461" w:rsidRPr="000D462E" w:rsidRDefault="00843461" w:rsidP="0084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943" w:firstLine="414"/>
        <w:jc w:val="both"/>
        <w:rPr>
          <w:rFonts w:asciiTheme="minorHAnsi" w:hAnsiTheme="minorHAnsi" w:cstheme="minorHAnsi"/>
          <w:sz w:val="22"/>
          <w:szCs w:val="22"/>
        </w:rPr>
      </w:pP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The research method 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>implemented</w:t>
      </w: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 in this article is a normative method with several approaches, 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 xml:space="preserve">those are </w:t>
      </w: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>historical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>,</w:t>
      </w: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 philosophical, and religious texts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 xml:space="preserve"> approaches</w:t>
      </w: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>.</w:t>
      </w:r>
      <w:r w:rsidRPr="000D462E">
        <w:rPr>
          <w:rFonts w:asciiTheme="minorHAnsi" w:eastAsia="Times New Roman" w:hAnsiTheme="minorHAnsi" w:cstheme="minorHAnsi"/>
          <w:sz w:val="22"/>
          <w:szCs w:val="22"/>
          <w:lang w:eastAsia="id-ID"/>
        </w:rPr>
        <w:t xml:space="preserve"> </w:t>
      </w:r>
      <w:r w:rsidRPr="000D462E">
        <w:rPr>
          <w:rFonts w:asciiTheme="minorHAnsi" w:hAnsiTheme="minorHAnsi" w:cstheme="minorHAnsi"/>
          <w:sz w:val="22"/>
          <w:szCs w:val="22"/>
        </w:rPr>
        <w:t>It is a descriptive interpretative research. The supporting data in this research are primary and secondary legislation. It is a</w:t>
      </w:r>
      <w:bookmarkStart w:id="0" w:name="_GoBack"/>
      <w:bookmarkEnd w:id="0"/>
      <w:r w:rsidRPr="000D462E">
        <w:rPr>
          <w:rFonts w:asciiTheme="minorHAnsi" w:hAnsiTheme="minorHAnsi" w:cstheme="minorHAnsi"/>
          <w:sz w:val="22"/>
          <w:szCs w:val="22"/>
        </w:rPr>
        <w:t>nalyzed using the technique of literary-based research.</w:t>
      </w:r>
    </w:p>
    <w:p w:rsidR="00843461" w:rsidRPr="000D462E" w:rsidRDefault="00843461" w:rsidP="0084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943" w:firstLine="414"/>
        <w:jc w:val="both"/>
        <w:rPr>
          <w:rFonts w:asciiTheme="minorHAnsi" w:hAnsiTheme="minorHAnsi" w:cstheme="minorHAnsi"/>
          <w:sz w:val="22"/>
          <w:szCs w:val="22"/>
        </w:rPr>
      </w:pPr>
      <w:r w:rsidRPr="000D462E">
        <w:rPr>
          <w:rFonts w:asciiTheme="minorHAnsi" w:hAnsiTheme="minorHAnsi" w:cstheme="minorHAnsi"/>
          <w:sz w:val="22"/>
          <w:szCs w:val="22"/>
        </w:rPr>
        <w:t>According to the findings, it is found out that</w:t>
      </w: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 the authority to handle cases in the Religious Courts was limited to 9 specific cases as stated in article 49 of the Religious Courts Act of </w:t>
      </w:r>
      <w:r w:rsidRPr="000D462E">
        <w:rPr>
          <w:rFonts w:asciiTheme="minorHAnsi" w:hAnsiTheme="minorHAnsi" w:cstheme="minorHAnsi"/>
          <w:sz w:val="22"/>
          <w:szCs w:val="22"/>
        </w:rPr>
        <w:t>Article Constitution of the Republic of Indonesia Number 3 Year 2006 as the Amendment of Constitution Number 7 Year 1989 about Religious Court is closely related to the development of law and the social law in recent years.</w:t>
      </w:r>
    </w:p>
    <w:p w:rsidR="00843461" w:rsidRPr="000D462E" w:rsidRDefault="00843461" w:rsidP="0084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943"/>
        <w:jc w:val="both"/>
        <w:rPr>
          <w:rFonts w:asciiTheme="minorHAnsi" w:eastAsia="Times New Roman" w:hAnsiTheme="minorHAnsi" w:cstheme="minorHAnsi"/>
          <w:sz w:val="22"/>
          <w:szCs w:val="22"/>
          <w:lang w:val="en" w:eastAsia="id-ID"/>
        </w:rPr>
      </w:pPr>
      <w:r w:rsidRPr="000D46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3461" w:rsidRPr="000D462E" w:rsidRDefault="00843461" w:rsidP="0084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943"/>
        <w:jc w:val="both"/>
        <w:rPr>
          <w:rFonts w:asciiTheme="minorHAnsi" w:eastAsia="Times New Roman" w:hAnsiTheme="minorHAnsi" w:cstheme="minorHAnsi"/>
          <w:sz w:val="18"/>
          <w:szCs w:val="18"/>
          <w:lang w:eastAsia="id-ID"/>
        </w:rPr>
      </w:pPr>
      <w:r w:rsidRPr="000D462E">
        <w:rPr>
          <w:rFonts w:asciiTheme="minorHAnsi" w:eastAsia="Times New Roman" w:hAnsiTheme="minorHAnsi" w:cstheme="minorHAnsi"/>
          <w:sz w:val="22"/>
          <w:szCs w:val="22"/>
          <w:lang w:val="en" w:eastAsia="id-ID"/>
        </w:rPr>
        <w:t xml:space="preserve">Keywords: </w:t>
      </w:r>
      <w:r w:rsidRPr="000D462E">
        <w:rPr>
          <w:rFonts w:asciiTheme="minorHAnsi" w:eastAsia="Times New Roman" w:hAnsiTheme="minorHAnsi" w:cstheme="minorHAnsi"/>
          <w:i/>
          <w:iCs/>
          <w:sz w:val="22"/>
          <w:szCs w:val="22"/>
          <w:lang w:val="en" w:eastAsia="id-ID"/>
        </w:rPr>
        <w:t xml:space="preserve">Politics of Islamic Law, </w:t>
      </w:r>
      <w:r w:rsidRPr="000D462E">
        <w:rPr>
          <w:rFonts w:asciiTheme="minorHAnsi" w:hAnsiTheme="minorHAnsi" w:cstheme="minorHAnsi"/>
          <w:i/>
          <w:iCs/>
          <w:sz w:val="22"/>
          <w:szCs w:val="22"/>
        </w:rPr>
        <w:t>Religious Court Authority</w:t>
      </w:r>
      <w:r w:rsidRPr="000D462E">
        <w:rPr>
          <w:rFonts w:asciiTheme="minorHAnsi" w:eastAsia="Times New Roman" w:hAnsiTheme="minorHAnsi" w:cstheme="minorHAnsi"/>
          <w:sz w:val="18"/>
          <w:szCs w:val="18"/>
          <w:lang w:val="en" w:eastAsia="id-ID"/>
        </w:rPr>
        <w:t xml:space="preserve"> </w:t>
      </w:r>
    </w:p>
    <w:p w:rsidR="00843461" w:rsidRPr="000D462E" w:rsidRDefault="00843461" w:rsidP="00843461">
      <w:pPr>
        <w:spacing w:after="0"/>
        <w:jc w:val="center"/>
        <w:rPr>
          <w:rFonts w:asciiTheme="minorHAnsi" w:hAnsiTheme="minorHAnsi" w:cstheme="minorHAnsi"/>
        </w:rPr>
      </w:pPr>
    </w:p>
    <w:sectPr w:rsidR="00843461" w:rsidRPr="000D4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1"/>
    <w:rsid w:val="000D462E"/>
    <w:rsid w:val="00603637"/>
    <w:rsid w:val="008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4327-1C2D-415F-BBE7-2DFF84E0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461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843461"/>
  </w:style>
  <w:style w:type="character" w:styleId="Hyperlink">
    <w:name w:val="Hyperlink"/>
    <w:basedOn w:val="DefaultParagraphFont"/>
    <w:uiPriority w:val="99"/>
    <w:unhideWhenUsed/>
    <w:rsid w:val="00843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syamhu dian</dc:creator>
  <cp:keywords/>
  <dc:description/>
  <cp:lastModifiedBy>syamhu dian</cp:lastModifiedBy>
  <cp:revision>2</cp:revision>
  <dcterms:created xsi:type="dcterms:W3CDTF">2022-07-25T00:58:00Z</dcterms:created>
  <dcterms:modified xsi:type="dcterms:W3CDTF">2022-07-25T01:04:00Z</dcterms:modified>
</cp:coreProperties>
</file>